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151" w:rsidRDefault="00C13151" w:rsidP="00C13151">
      <w:pPr>
        <w:keepNext/>
        <w:tabs>
          <w:tab w:val="center" w:pos="5035"/>
          <w:tab w:val="left" w:pos="6690"/>
        </w:tabs>
        <w:spacing w:after="0" w:line="240" w:lineRule="auto"/>
        <w:ind w:right="-716"/>
        <w:jc w:val="center"/>
        <w:rPr>
          <w:rFonts w:ascii="Times New Roman" w:eastAsia="Times New Roman" w:hAnsi="Times New Roman" w:cs="Times New Roman"/>
        </w:rPr>
      </w:pPr>
      <w:r>
        <w:rPr>
          <w:rFonts w:ascii="Times New Roman" w:eastAsia="Times New Roman" w:hAnsi="Times New Roman" w:cs="Times New Roman"/>
        </w:rPr>
        <w:t>КОМИССИЯ ПО ДЕЛАМ НЕСОВЕРШЕННОЛЕТНИХ И ЗАЩИТЕ ИХ ПРАВ</w:t>
      </w:r>
    </w:p>
    <w:p w:rsidR="00C13151" w:rsidRDefault="00C13151" w:rsidP="00C13151">
      <w:pPr>
        <w:spacing w:after="0" w:line="240" w:lineRule="auto"/>
        <w:ind w:right="-716"/>
        <w:jc w:val="center"/>
        <w:rPr>
          <w:rFonts w:ascii="Times New Roman" w:eastAsia="Times New Roman" w:hAnsi="Times New Roman" w:cs="Times New Roman"/>
        </w:rPr>
      </w:pPr>
      <w:r>
        <w:rPr>
          <w:rFonts w:ascii="Times New Roman" w:eastAsia="Times New Roman" w:hAnsi="Times New Roman" w:cs="Times New Roman"/>
        </w:rPr>
        <w:t>МО «БАЯНДАЕВСКИЙ РАЙОН»</w:t>
      </w:r>
    </w:p>
    <w:p w:rsidR="00C13151" w:rsidRDefault="00C13151" w:rsidP="00C13151">
      <w:pPr>
        <w:spacing w:after="0" w:line="240" w:lineRule="auto"/>
        <w:ind w:left="-142" w:right="140"/>
        <w:jc w:val="center"/>
        <w:rPr>
          <w:rFonts w:ascii="Times New Roman" w:eastAsia="Times New Roman" w:hAnsi="Times New Roman" w:cs="Times New Roman"/>
        </w:rPr>
      </w:pPr>
      <w:r>
        <w:rPr>
          <w:rFonts w:ascii="Times New Roman" w:eastAsia="Times New Roman" w:hAnsi="Times New Roman" w:cs="Times New Roman"/>
        </w:rPr>
        <w:t xml:space="preserve">                                                                               </w:t>
      </w:r>
    </w:p>
    <w:p w:rsidR="00C13151" w:rsidRDefault="00C13151" w:rsidP="00C13151">
      <w:pPr>
        <w:spacing w:after="0" w:line="240" w:lineRule="auto"/>
        <w:ind w:right="-716"/>
        <w:jc w:val="center"/>
        <w:rPr>
          <w:rFonts w:ascii="Times New Roman" w:eastAsia="Times New Roman" w:hAnsi="Times New Roman" w:cs="Times New Roman"/>
          <w:b/>
        </w:rPr>
      </w:pPr>
      <w:r>
        <w:rPr>
          <w:rFonts w:ascii="Times New Roman" w:eastAsia="Times New Roman" w:hAnsi="Times New Roman" w:cs="Times New Roman"/>
          <w:b/>
        </w:rPr>
        <w:t>ПОСТАНОВЛЕНИЕ</w:t>
      </w:r>
    </w:p>
    <w:p w:rsidR="00C13151" w:rsidRDefault="00C13151" w:rsidP="00C13151">
      <w:pPr>
        <w:spacing w:after="0" w:line="240" w:lineRule="auto"/>
        <w:ind w:right="-716"/>
        <w:jc w:val="center"/>
        <w:rPr>
          <w:rFonts w:ascii="Times New Roman" w:eastAsia="Times New Roman" w:hAnsi="Times New Roman" w:cs="Times New Roman"/>
          <w:b/>
        </w:rPr>
      </w:pPr>
      <w:r>
        <w:rPr>
          <w:rFonts w:ascii="Times New Roman" w:eastAsia="Times New Roman" w:hAnsi="Times New Roman" w:cs="Times New Roman"/>
          <w:b/>
        </w:rPr>
        <w:t>утверждение плана работы КДНиЗП на 2020г.</w:t>
      </w:r>
    </w:p>
    <w:tbl>
      <w:tblPr>
        <w:tblW w:w="0" w:type="auto"/>
        <w:jc w:val="center"/>
        <w:tblCellMar>
          <w:left w:w="10" w:type="dxa"/>
          <w:right w:w="10" w:type="dxa"/>
        </w:tblCellMar>
        <w:tblLook w:val="04A0" w:firstRow="1" w:lastRow="0" w:firstColumn="1" w:lastColumn="0" w:noHBand="0" w:noVBand="1"/>
      </w:tblPr>
      <w:tblGrid>
        <w:gridCol w:w="797"/>
        <w:gridCol w:w="355"/>
        <w:gridCol w:w="860"/>
        <w:gridCol w:w="1592"/>
        <w:gridCol w:w="307"/>
        <w:gridCol w:w="432"/>
        <w:gridCol w:w="2217"/>
        <w:gridCol w:w="2448"/>
        <w:gridCol w:w="245"/>
      </w:tblGrid>
      <w:tr w:rsidR="00C13151" w:rsidTr="00C13151">
        <w:trPr>
          <w:gridAfter w:val="1"/>
          <w:wAfter w:w="245" w:type="dxa"/>
          <w:jc w:val="center"/>
        </w:trPr>
        <w:tc>
          <w:tcPr>
            <w:tcW w:w="9008" w:type="dxa"/>
            <w:gridSpan w:val="8"/>
            <w:tcBorders>
              <w:top w:val="nil"/>
              <w:left w:val="nil"/>
              <w:bottom w:val="single" w:sz="4" w:space="0" w:color="auto"/>
              <w:right w:val="nil"/>
            </w:tcBorders>
            <w:shd w:val="clear" w:color="auto" w:fill="FFFFFF"/>
            <w:tcMar>
              <w:top w:w="0" w:type="dxa"/>
              <w:left w:w="28" w:type="dxa"/>
              <w:bottom w:w="0" w:type="dxa"/>
              <w:right w:w="28" w:type="dxa"/>
            </w:tcMar>
            <w:vAlign w:val="bottom"/>
            <w:hideMark/>
          </w:tcPr>
          <w:p w:rsidR="00C13151" w:rsidRDefault="00C13151">
            <w:pPr>
              <w:spacing w:after="0" w:line="240" w:lineRule="auto"/>
              <w:rPr>
                <w:rFonts w:ascii="Times New Roman" w:hAnsi="Times New Roman" w:cs="Times New Roman"/>
                <w:lang w:eastAsia="en-US"/>
              </w:rPr>
            </w:pPr>
            <w:r>
              <w:rPr>
                <w:rFonts w:ascii="Times New Roman" w:eastAsia="Times New Roman" w:hAnsi="Times New Roman" w:cs="Times New Roman"/>
                <w:b/>
                <w:lang w:eastAsia="en-US"/>
              </w:rPr>
              <w:t xml:space="preserve">                                                                              </w:t>
            </w:r>
            <w:r>
              <w:rPr>
                <w:rFonts w:ascii="Times New Roman" w:eastAsia="Segoe UI Symbol" w:hAnsi="Times New Roman" w:cs="Times New Roman"/>
                <w:b/>
                <w:lang w:eastAsia="en-US"/>
              </w:rPr>
              <w:t>№</w:t>
            </w:r>
            <w:r>
              <w:rPr>
                <w:rFonts w:ascii="Times New Roman" w:eastAsia="Times New Roman" w:hAnsi="Times New Roman" w:cs="Times New Roman"/>
                <w:b/>
                <w:lang w:eastAsia="en-US"/>
              </w:rPr>
              <w:t>237\2019</w:t>
            </w:r>
          </w:p>
        </w:tc>
      </w:tr>
      <w:tr w:rsidR="00C13151" w:rsidTr="00C13151">
        <w:trPr>
          <w:jc w:val="center"/>
        </w:trPr>
        <w:tc>
          <w:tcPr>
            <w:tcW w:w="797" w:type="dxa"/>
            <w:shd w:val="clear" w:color="auto" w:fill="FFFFFF"/>
            <w:tcMar>
              <w:top w:w="0" w:type="dxa"/>
              <w:left w:w="28" w:type="dxa"/>
              <w:bottom w:w="0" w:type="dxa"/>
              <w:right w:w="28" w:type="dxa"/>
            </w:tcMar>
            <w:vAlign w:val="bottom"/>
            <w:hideMark/>
          </w:tcPr>
          <w:p w:rsidR="00C13151" w:rsidRDefault="00C13151">
            <w:pPr>
              <w:spacing w:after="0"/>
              <w:jc w:val="right"/>
              <w:rPr>
                <w:lang w:eastAsia="en-US"/>
              </w:rPr>
            </w:pPr>
            <w:r>
              <w:rPr>
                <w:rFonts w:ascii="Times New Roman" w:eastAsia="Times New Roman" w:hAnsi="Times New Roman" w:cs="Times New Roman"/>
                <w:sz w:val="24"/>
                <w:lang w:eastAsia="en-US"/>
              </w:rPr>
              <w:t>«</w:t>
            </w:r>
          </w:p>
        </w:tc>
        <w:tc>
          <w:tcPr>
            <w:tcW w:w="355" w:type="dxa"/>
            <w:shd w:val="clear" w:color="auto" w:fill="FFFFFF"/>
            <w:tcMar>
              <w:top w:w="0" w:type="dxa"/>
              <w:left w:w="28" w:type="dxa"/>
              <w:bottom w:w="0" w:type="dxa"/>
              <w:right w:w="28" w:type="dxa"/>
            </w:tcMar>
            <w:vAlign w:val="bottom"/>
            <w:hideMark/>
          </w:tcPr>
          <w:p w:rsidR="00C13151" w:rsidRDefault="00C13151">
            <w:pPr>
              <w:spacing w:after="0"/>
              <w:jc w:val="center"/>
              <w:rPr>
                <w:lang w:eastAsia="en-US"/>
              </w:rPr>
            </w:pPr>
            <w:r>
              <w:rPr>
                <w:rFonts w:ascii="Times New Roman" w:eastAsia="Times New Roman" w:hAnsi="Times New Roman" w:cs="Times New Roman"/>
                <w:sz w:val="24"/>
                <w:lang w:eastAsia="en-US"/>
              </w:rPr>
              <w:t>26</w:t>
            </w:r>
          </w:p>
        </w:tc>
        <w:tc>
          <w:tcPr>
            <w:tcW w:w="860" w:type="dxa"/>
            <w:shd w:val="clear" w:color="auto" w:fill="FFFFFF"/>
            <w:tcMar>
              <w:top w:w="0" w:type="dxa"/>
              <w:left w:w="28" w:type="dxa"/>
              <w:bottom w:w="0" w:type="dxa"/>
              <w:right w:w="28" w:type="dxa"/>
            </w:tcMar>
            <w:vAlign w:val="bottom"/>
            <w:hideMark/>
          </w:tcPr>
          <w:p w:rsidR="00C13151" w:rsidRDefault="00C13151">
            <w:pPr>
              <w:spacing w:after="0"/>
              <w:rPr>
                <w:lang w:eastAsia="en-US"/>
              </w:rPr>
            </w:pPr>
            <w:r>
              <w:rPr>
                <w:rFonts w:ascii="Times New Roman" w:eastAsia="Times New Roman" w:hAnsi="Times New Roman" w:cs="Times New Roman"/>
                <w:sz w:val="24"/>
                <w:lang w:eastAsia="en-US"/>
              </w:rPr>
              <w:t>»</w:t>
            </w:r>
          </w:p>
        </w:tc>
        <w:tc>
          <w:tcPr>
            <w:tcW w:w="1592" w:type="dxa"/>
            <w:shd w:val="clear" w:color="auto" w:fill="FFFFFF"/>
            <w:tcMar>
              <w:top w:w="0" w:type="dxa"/>
              <w:left w:w="28" w:type="dxa"/>
              <w:bottom w:w="0" w:type="dxa"/>
              <w:right w:w="28" w:type="dxa"/>
            </w:tcMar>
            <w:vAlign w:val="bottom"/>
            <w:hideMark/>
          </w:tcPr>
          <w:p w:rsidR="00C13151" w:rsidRDefault="00C13151">
            <w:pPr>
              <w:spacing w:after="0"/>
              <w:jc w:val="center"/>
              <w:rPr>
                <w:lang w:eastAsia="en-US"/>
              </w:rPr>
            </w:pPr>
            <w:r>
              <w:rPr>
                <w:rFonts w:ascii="Times New Roman" w:eastAsia="Times New Roman" w:hAnsi="Times New Roman" w:cs="Times New Roman"/>
                <w:sz w:val="24"/>
                <w:lang w:eastAsia="en-US"/>
              </w:rPr>
              <w:t>декабря</w:t>
            </w:r>
          </w:p>
        </w:tc>
        <w:tc>
          <w:tcPr>
            <w:tcW w:w="307" w:type="dxa"/>
            <w:shd w:val="clear" w:color="auto" w:fill="FFFFFF"/>
            <w:tcMar>
              <w:top w:w="0" w:type="dxa"/>
              <w:left w:w="28" w:type="dxa"/>
              <w:bottom w:w="0" w:type="dxa"/>
              <w:right w:w="28" w:type="dxa"/>
            </w:tcMar>
            <w:vAlign w:val="bottom"/>
            <w:hideMark/>
          </w:tcPr>
          <w:p w:rsidR="00C13151" w:rsidRDefault="00C13151">
            <w:pPr>
              <w:spacing w:after="0"/>
              <w:jc w:val="right"/>
              <w:rPr>
                <w:lang w:eastAsia="en-US"/>
              </w:rPr>
            </w:pPr>
            <w:r>
              <w:rPr>
                <w:rFonts w:ascii="Times New Roman" w:eastAsia="Times New Roman" w:hAnsi="Times New Roman" w:cs="Times New Roman"/>
                <w:sz w:val="24"/>
                <w:lang w:eastAsia="en-US"/>
              </w:rPr>
              <w:t>20</w:t>
            </w:r>
          </w:p>
        </w:tc>
        <w:tc>
          <w:tcPr>
            <w:tcW w:w="432" w:type="dxa"/>
            <w:shd w:val="clear" w:color="auto" w:fill="FFFFFF"/>
            <w:tcMar>
              <w:top w:w="0" w:type="dxa"/>
              <w:left w:w="28" w:type="dxa"/>
              <w:bottom w:w="0" w:type="dxa"/>
              <w:right w:w="28" w:type="dxa"/>
            </w:tcMar>
            <w:vAlign w:val="bottom"/>
            <w:hideMark/>
          </w:tcPr>
          <w:p w:rsidR="00C13151" w:rsidRDefault="00C13151">
            <w:pPr>
              <w:spacing w:after="0"/>
              <w:rPr>
                <w:lang w:eastAsia="en-US"/>
              </w:rPr>
            </w:pPr>
            <w:r>
              <w:rPr>
                <w:rFonts w:ascii="Times New Roman" w:eastAsia="Times New Roman" w:hAnsi="Times New Roman" w:cs="Times New Roman"/>
                <w:sz w:val="24"/>
                <w:lang w:eastAsia="en-US"/>
              </w:rPr>
              <w:t>19</w:t>
            </w:r>
          </w:p>
        </w:tc>
        <w:tc>
          <w:tcPr>
            <w:tcW w:w="2217" w:type="dxa"/>
            <w:shd w:val="clear" w:color="auto" w:fill="FFFFFF"/>
            <w:tcMar>
              <w:top w:w="0" w:type="dxa"/>
              <w:left w:w="28" w:type="dxa"/>
              <w:bottom w:w="0" w:type="dxa"/>
              <w:right w:w="28" w:type="dxa"/>
            </w:tcMar>
            <w:vAlign w:val="bottom"/>
            <w:hideMark/>
          </w:tcPr>
          <w:p w:rsidR="00C13151" w:rsidRDefault="00C13151">
            <w:pPr>
              <w:spacing w:after="0"/>
              <w:rPr>
                <w:lang w:eastAsia="en-US"/>
              </w:rPr>
            </w:pPr>
            <w:r>
              <w:rPr>
                <w:rFonts w:ascii="Times New Roman" w:eastAsia="Times New Roman" w:hAnsi="Times New Roman" w:cs="Times New Roman"/>
                <w:sz w:val="24"/>
                <w:lang w:eastAsia="en-US"/>
              </w:rPr>
              <w:t>г.</w:t>
            </w:r>
          </w:p>
        </w:tc>
        <w:tc>
          <w:tcPr>
            <w:tcW w:w="2693" w:type="dxa"/>
            <w:gridSpan w:val="2"/>
            <w:shd w:val="clear" w:color="auto" w:fill="FFFFFF"/>
            <w:tcMar>
              <w:top w:w="0" w:type="dxa"/>
              <w:left w:w="28" w:type="dxa"/>
              <w:bottom w:w="0" w:type="dxa"/>
              <w:right w:w="28" w:type="dxa"/>
            </w:tcMar>
            <w:vAlign w:val="bottom"/>
            <w:hideMark/>
          </w:tcPr>
          <w:p w:rsidR="00C13151" w:rsidRDefault="00C13151">
            <w:pPr>
              <w:spacing w:after="0"/>
              <w:jc w:val="center"/>
              <w:rPr>
                <w:lang w:eastAsia="en-US"/>
              </w:rPr>
            </w:pPr>
            <w:r>
              <w:rPr>
                <w:rFonts w:ascii="Times New Roman" w:eastAsia="Times New Roman" w:hAnsi="Times New Roman" w:cs="Times New Roman"/>
                <w:sz w:val="24"/>
                <w:lang w:eastAsia="en-US"/>
              </w:rPr>
              <w:t>с.Баяндай</w:t>
            </w:r>
          </w:p>
        </w:tc>
      </w:tr>
    </w:tbl>
    <w:p w:rsidR="00C13151" w:rsidRDefault="00C13151" w:rsidP="00C13151">
      <w:pPr>
        <w:keepNext/>
        <w:tabs>
          <w:tab w:val="center" w:pos="5035"/>
          <w:tab w:val="left" w:pos="6690"/>
        </w:tabs>
        <w:spacing w:after="0" w:line="240" w:lineRule="auto"/>
        <w:ind w:right="-716"/>
        <w:jc w:val="both"/>
        <w:rPr>
          <w:rFonts w:ascii="Times New Roman" w:eastAsia="Times New Roman" w:hAnsi="Times New Roman" w:cs="Times New Roman"/>
          <w:sz w:val="24"/>
        </w:rPr>
      </w:pPr>
    </w:p>
    <w:p w:rsidR="00C13151" w:rsidRDefault="00C13151" w:rsidP="00C13151">
      <w:pPr>
        <w:spacing w:after="0" w:line="240" w:lineRule="auto"/>
        <w:ind w:right="-1"/>
        <w:jc w:val="both"/>
        <w:rPr>
          <w:rFonts w:ascii="Times New Roman" w:eastAsia="Times New Roman" w:hAnsi="Times New Roman" w:cs="Times New Roman"/>
        </w:rPr>
      </w:pPr>
      <w:r>
        <w:rPr>
          <w:rFonts w:ascii="Times New Roman" w:eastAsia="Times New Roman" w:hAnsi="Times New Roman" w:cs="Times New Roman"/>
        </w:rPr>
        <w:t xml:space="preserve">       Комиссия по делам несовершеннолетних и защите их прав в МО «Баяндаевский район» в составе председательствующего Дмитрова Афанасия Лаврентьевича,  ответственного секретаря – Борхоновой Аллы Петровны и членов комиссии: Зандыновой Татьяны Анатольевны, Шатаевой Татьяны Игоревны, Романова Александра Максимовича, Муханеевой Надежды Анатольевны, Ихиновой Галины Викторовны, Мантатовой Эльвиры Алексеевны, Мамаева Федора Германовича, Бардахановой Таисии Константиновны, Фазульяновой Юлии Халимовны, Борхолеева Александра Ильича, при участии старшего помощника прокурора Баяндаевского района Михайловой Галины Вячеславовны</w:t>
      </w:r>
      <w:r>
        <w:rPr>
          <w:rFonts w:ascii="Times New Roman" w:hAnsi="Times New Roman" w:cs="Times New Roman"/>
        </w:rPr>
        <w:t xml:space="preserve"> рассмотрела вопрос: «Утверждение Плана работы КДН и ЗП МО «Баяндаевский район»» на 2020 год</w:t>
      </w:r>
      <w:r>
        <w:rPr>
          <w:rFonts w:ascii="Times New Roman" w:eastAsia="Times New Roman" w:hAnsi="Times New Roman" w:cs="Times New Roman"/>
        </w:rPr>
        <w:t>».</w:t>
      </w:r>
    </w:p>
    <w:p w:rsidR="00C13151" w:rsidRDefault="00C13151" w:rsidP="00C13151">
      <w:pPr>
        <w:spacing w:after="0" w:line="240" w:lineRule="auto"/>
        <w:rPr>
          <w:rFonts w:ascii="Times New Roman" w:eastAsia="Times New Roman" w:hAnsi="Times New Roman" w:cs="Times New Roman"/>
          <w:sz w:val="24"/>
        </w:rPr>
      </w:pPr>
    </w:p>
    <w:p w:rsidR="00C13151" w:rsidRDefault="00C13151" w:rsidP="00C13151">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План работы КДНиЗП МО «Баяндаевский район» на 2020 г. разработан в целях обеспечения взаимодействия органов и учреждений районной системы профилактики безнадзорности и правонарушений несовершеннолетних, органов местного самоуправления и иных организаций, осуществляющих деятельность в сфере профилактики социальных проблем несовершеннолетних, по вопросам, отнесенным к ведению комиссии в решении проблем безнадзорности, беспризорности, правонарушений несовершеннолетних, защите их прав и законных интересов. </w:t>
      </w:r>
    </w:p>
    <w:p w:rsidR="00C13151" w:rsidRDefault="00C13151" w:rsidP="00C13151">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Планирование работы  КДНиЗП на 2020г. предполагает подготовку и выполнение мероприятий по решению задач, направленных на осуществление мер по выявлению, устранению причин и условий, способствующих безнадзорности, беспризорности, правонарушениям и антиобщественным действиям несовершеннолетних; на осуществление мер по защите прав и законных интересов несовершеннолетних; на обеспечение эффективного взаимодействия органов и учреждений районной системы профилактики безнадзорности и правонарушений несовершеннолетних.  </w:t>
      </w:r>
    </w:p>
    <w:p w:rsidR="00C13151" w:rsidRDefault="00C13151" w:rsidP="00C1315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C13151" w:rsidRDefault="00C13151" w:rsidP="00C1315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Руководствуясь п.п.2 п.16 раздела 5 «Положения о районной (городской), районной в городе комиссии по делам несовершеннолетних и защиты их прав в Иркутской области», утвержденного постановлением администрации Иркутской области  от 26.03.2008г. </w:t>
      </w:r>
      <w:r>
        <w:rPr>
          <w:rFonts w:ascii="Segoe UI Symbol" w:eastAsia="Segoe UI Symbol" w:hAnsi="Segoe UI Symbol" w:cs="Segoe UI Symbol"/>
        </w:rPr>
        <w:t>№</w:t>
      </w:r>
      <w:r>
        <w:rPr>
          <w:rFonts w:ascii="Times New Roman" w:eastAsia="Times New Roman" w:hAnsi="Times New Roman" w:cs="Times New Roman"/>
        </w:rPr>
        <w:t xml:space="preserve"> 65-па,                                        </w:t>
      </w:r>
    </w:p>
    <w:p w:rsidR="00C13151" w:rsidRDefault="00C13151" w:rsidP="00C13151">
      <w:pPr>
        <w:spacing w:after="0" w:line="240" w:lineRule="auto"/>
        <w:jc w:val="center"/>
        <w:rPr>
          <w:rFonts w:ascii="Times New Roman" w:eastAsia="Times New Roman" w:hAnsi="Times New Roman" w:cs="Times New Roman"/>
        </w:rPr>
      </w:pPr>
    </w:p>
    <w:p w:rsidR="00C13151" w:rsidRDefault="00C13151" w:rsidP="00C1315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ПОСТАНОВЛЯЕТ:</w:t>
      </w:r>
    </w:p>
    <w:p w:rsidR="00C13151" w:rsidRDefault="00C13151" w:rsidP="00C13151">
      <w:pPr>
        <w:spacing w:after="0" w:line="240" w:lineRule="auto"/>
        <w:jc w:val="center"/>
        <w:rPr>
          <w:rFonts w:ascii="Times New Roman" w:eastAsia="Times New Roman" w:hAnsi="Times New Roman" w:cs="Times New Roman"/>
        </w:rPr>
      </w:pPr>
    </w:p>
    <w:p w:rsidR="00C13151" w:rsidRDefault="00C13151" w:rsidP="00C13151">
      <w:pPr>
        <w:spacing w:line="240" w:lineRule="auto"/>
        <w:jc w:val="both"/>
        <w:rPr>
          <w:rFonts w:ascii="Times New Roman" w:hAnsi="Times New Roman" w:cs="Times New Roman"/>
        </w:rPr>
      </w:pPr>
      <w:r>
        <w:rPr>
          <w:rFonts w:ascii="Times New Roman" w:hAnsi="Times New Roman" w:cs="Times New Roman"/>
        </w:rPr>
        <w:t>1. Утвердить план работы комиссии  по делам несовершеннолетних и защите их прав /КДНиЗП/ в  МО «Баяндаевский район»  на 2020г. (прилагается).</w:t>
      </w:r>
    </w:p>
    <w:p w:rsidR="00C13151" w:rsidRDefault="00C13151" w:rsidP="00C13151">
      <w:pPr>
        <w:spacing w:after="0" w:line="240" w:lineRule="auto"/>
        <w:jc w:val="both"/>
        <w:rPr>
          <w:rFonts w:ascii="Times New Roman" w:hAnsi="Times New Roman" w:cs="Times New Roman"/>
        </w:rPr>
      </w:pPr>
      <w:r>
        <w:rPr>
          <w:rFonts w:ascii="Times New Roman" w:hAnsi="Times New Roman" w:cs="Times New Roman"/>
        </w:rPr>
        <w:t xml:space="preserve">2. Контроль по исполнению плана работы комиссии  по делам несовершеннолетних </w:t>
      </w:r>
    </w:p>
    <w:p w:rsidR="00C13151" w:rsidRDefault="00C13151" w:rsidP="00C13151">
      <w:pPr>
        <w:spacing w:after="0" w:line="240" w:lineRule="auto"/>
        <w:jc w:val="both"/>
        <w:rPr>
          <w:rFonts w:ascii="Times New Roman" w:hAnsi="Times New Roman" w:cs="Times New Roman"/>
        </w:rPr>
      </w:pPr>
      <w:r>
        <w:rPr>
          <w:rFonts w:ascii="Times New Roman" w:hAnsi="Times New Roman" w:cs="Times New Roman"/>
        </w:rPr>
        <w:t>и защите их прав /КДНиЗП/ в  МО «Баяндаевский район» на 2020г. осуществляет председатель  КДНиЗП МО «Баяндаевский район»  Дмитров А.Л.</w:t>
      </w:r>
    </w:p>
    <w:p w:rsidR="00C13151" w:rsidRDefault="00C13151" w:rsidP="00C13151">
      <w:pPr>
        <w:spacing w:after="0" w:line="240" w:lineRule="auto"/>
        <w:jc w:val="both"/>
        <w:rPr>
          <w:rFonts w:ascii="Times New Roman" w:eastAsia="Times New Roman" w:hAnsi="Times New Roman" w:cs="Times New Roman"/>
        </w:rPr>
      </w:pPr>
    </w:p>
    <w:p w:rsidR="00C13151" w:rsidRDefault="00C13151" w:rsidP="00C1315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C13151" w:rsidRDefault="00C13151" w:rsidP="00C1315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Председательствующий  КДНиЗП  </w:t>
      </w:r>
    </w:p>
    <w:p w:rsidR="00C13151" w:rsidRDefault="00C13151" w:rsidP="00C13151">
      <w:pPr>
        <w:spacing w:after="0" w:line="240" w:lineRule="auto"/>
        <w:rPr>
          <w:rFonts w:ascii="Times New Roman" w:hAnsi="Times New Roman" w:cs="Times New Roman"/>
        </w:rPr>
      </w:pPr>
      <w:r>
        <w:rPr>
          <w:rFonts w:ascii="Times New Roman" w:eastAsia="Times New Roman" w:hAnsi="Times New Roman" w:cs="Times New Roman"/>
        </w:rPr>
        <w:t xml:space="preserve">        МО «Баяндаевский район»                                                                    А.Л. Дмитров</w:t>
      </w:r>
    </w:p>
    <w:p w:rsidR="00BC68A2" w:rsidRDefault="00BC68A2">
      <w:bookmarkStart w:id="0" w:name="_GoBack"/>
      <w:bookmarkEnd w:id="0"/>
    </w:p>
    <w:sectPr w:rsidR="00BC68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ADF"/>
    <w:rsid w:val="00820ADF"/>
    <w:rsid w:val="00BC68A2"/>
    <w:rsid w:val="00C1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15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15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13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2497</Characters>
  <Application>Microsoft Office Word</Application>
  <DocSecurity>0</DocSecurity>
  <Lines>20</Lines>
  <Paragraphs>5</Paragraphs>
  <ScaleCrop>false</ScaleCrop>
  <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Макаровна</dc:creator>
  <cp:keywords/>
  <dc:description/>
  <cp:lastModifiedBy>Вера Макаровна</cp:lastModifiedBy>
  <cp:revision>3</cp:revision>
  <dcterms:created xsi:type="dcterms:W3CDTF">2020-01-22T01:52:00Z</dcterms:created>
  <dcterms:modified xsi:type="dcterms:W3CDTF">2020-01-22T01:52:00Z</dcterms:modified>
</cp:coreProperties>
</file>